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W w:w="10078" w:type="dxa"/>
        <w:jc w:val="center"/>
        <w:tblInd w:w="0" w:type="dxa"/>
        <w:tblCellMar>
          <w:top w:w="0" w:type="dxa"/>
          <w:left w:w="10" w:type="dxa"/>
          <w:bottom w:w="0" w:type="dxa"/>
          <w:right w:w="10" w:type="dxa"/>
        </w:tblCellMar>
        <w:tblLook w:firstRow="1" w:noVBand="1" w:lastRow="0" w:firstColumn="1" w:lastColumn="0" w:noHBand="0" w:val="04a0"/>
      </w:tblPr>
      <w:tblGrid>
        <w:gridCol w:w="1438"/>
        <w:gridCol w:w="3130"/>
        <w:gridCol w:w="1664"/>
        <w:gridCol w:w="3845"/>
      </w:tblGrid>
      <w:tr>
        <w:trPr>
          <w:trHeight w:val="559" w:hRule="atLeast"/>
        </w:trPr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Заказчик: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exact" w:line="250"/>
              <w:ind w:lef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ООО «Самарские коммунальные системы»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exact" w:line="240"/>
              <w:ind w:lef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Группа материалов:</w:t>
            </w:r>
          </w:p>
        </w:tc>
        <w:tc>
          <w:tcPr>
            <w:tcW w:w="3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hd w:fill="FFFFFF" w:val="clear"/>
              </w:rPr>
              <w:t>Группа: ЕВ – насосы и насосные агрегаты</w:t>
            </w:r>
          </w:p>
        </w:tc>
      </w:tr>
      <w:tr>
        <w:trPr>
          <w:trHeight w:val="509" w:hRule="atLeast"/>
        </w:trPr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ind w:lef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№ </w:t>
            </w:r>
            <w:r>
              <w:rPr>
                <w:rFonts w:cs="Times New Roman" w:ascii="Times New Roman" w:hAnsi="Times New Roman"/>
              </w:rPr>
              <w:t>опросного листа: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127" w:hanging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val="ru-RU"/>
              </w:rPr>
              <w:t>18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exact" w:line="230"/>
              <w:ind w:lef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Код МТР в ЕНС РКС:ЕВ000773</w:t>
            </w:r>
          </w:p>
        </w:tc>
        <w:tc>
          <w:tcPr>
            <w:tcW w:w="3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7" w:hanging="0"/>
              <w:jc w:val="left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lang w:val="ru-RU"/>
              </w:rPr>
              <w:t>ЕВ000182</w:t>
            </w:r>
          </w:p>
        </w:tc>
      </w:tr>
    </w:tbl>
    <w:p>
      <w:pPr>
        <w:pStyle w:val="Normal"/>
        <w:rPr>
          <w:sz w:val="2"/>
          <w:szCs w:val="2"/>
        </w:rPr>
      </w:pPr>
      <w:r>
        <w:rPr>
          <w:sz w:val="2"/>
          <w:szCs w:val="2"/>
        </w:rPr>
      </w:r>
    </w:p>
    <w:tbl>
      <w:tblPr>
        <w:tblW w:w="10023" w:type="dxa"/>
        <w:jc w:val="center"/>
        <w:tblInd w:w="0" w:type="dxa"/>
        <w:tblCellMar>
          <w:top w:w="0" w:type="dxa"/>
          <w:left w:w="10" w:type="dxa"/>
          <w:bottom w:w="0" w:type="dxa"/>
          <w:right w:w="10" w:type="dxa"/>
        </w:tblCellMar>
        <w:tblLook w:firstRow="1" w:noVBand="1" w:lastRow="0" w:firstColumn="1" w:lastColumn="0" w:noHBand="0" w:val="04a0"/>
      </w:tblPr>
      <w:tblGrid>
        <w:gridCol w:w="659"/>
        <w:gridCol w:w="4336"/>
        <w:gridCol w:w="1551"/>
        <w:gridCol w:w="3476"/>
      </w:tblGrid>
      <w:tr>
        <w:trPr>
          <w:trHeight w:val="360" w:hRule="atLeast"/>
        </w:trPr>
        <w:tc>
          <w:tcPr>
            <w:tcW w:w="10022" w:type="dxa"/>
            <w:gridSpan w:val="4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val="ru-RU"/>
              </w:rPr>
            </w:r>
          </w:p>
          <w:p>
            <w:pPr>
              <w:pStyle w:val="Normal"/>
              <w:widowControl w:val="false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 МТР: Насос ГНОМ 16-16Д</w:t>
            </w:r>
            <w:r>
              <w:rPr>
                <w:rFonts w:cs="Times New Roman" w:ascii="Times New Roman" w:hAnsi="Times New Roman"/>
                <w:sz w:val="18"/>
                <w:szCs w:val="18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z w:val="18"/>
                <w:szCs w:val="18"/>
                <w:lang w:val="ru-RU"/>
              </w:rPr>
              <w:t>или аналог</w:t>
            </w:r>
          </w:p>
          <w:p>
            <w:pPr>
              <w:pStyle w:val="1"/>
              <w:widowControl w:val="false"/>
              <w:shd w:val="clear" w:color="auto" w:fill="auto"/>
              <w:spacing w:lineRule="auto" w:line="240"/>
              <w:ind w:left="160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658" w:hRule="atLeast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31"/>
              <w:widowControl w:val="false"/>
              <w:shd w:val="clear" w:color="auto" w:fill="auto"/>
              <w:spacing w:lineRule="exact" w:line="245"/>
              <w:ind w:right="89"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№ </w:t>
            </w:r>
            <w:r>
              <w:rPr>
                <w:rFonts w:cs="Times New Roman" w:ascii="Times New Roman" w:hAnsi="Times New Roman"/>
              </w:rPr>
              <w:t>п/п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31"/>
              <w:widowControl w:val="false"/>
              <w:shd w:val="clear" w:color="auto" w:fill="auto"/>
              <w:spacing w:lineRule="exact" w:line="245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параметра</w:t>
            </w:r>
          </w:p>
          <w:p>
            <w:pPr>
              <w:pStyle w:val="Bodytext31"/>
              <w:widowControl w:val="false"/>
              <w:shd w:val="clear" w:color="auto" w:fill="auto"/>
              <w:spacing w:lineRule="exact" w:line="245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(характеристики)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31"/>
              <w:widowControl w:val="false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Размерность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31"/>
              <w:widowControl w:val="false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Требования заказчика</w:t>
            </w:r>
          </w:p>
        </w:tc>
      </w:tr>
      <w:tr>
        <w:trPr>
          <w:trHeight w:val="235" w:hRule="atLeast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tabs>
                <w:tab w:val="clear" w:pos="708"/>
                <w:tab w:val="left" w:pos="508" w:leader="none"/>
              </w:tabs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</w:t>
            </w:r>
          </w:p>
        </w:tc>
        <w:tc>
          <w:tcPr>
            <w:tcW w:w="93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b/>
                <w:color w:val="000000" w:themeColor="text1"/>
                <w:lang w:val="ru-RU"/>
              </w:rPr>
              <w:t>Функциональные параметры</w:t>
            </w:r>
          </w:p>
        </w:tc>
      </w:tr>
      <w:tr>
        <w:trPr>
          <w:trHeight w:val="225" w:hRule="atLeast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1.1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Перекачиваемая</w:t>
            </w:r>
            <w:r>
              <w:rPr>
                <w:rFonts w:cs="Times New Roman" w:ascii="Times New Roman" w:hAnsi="Times New Roman"/>
                <w:color w:val="000000" w:themeColor="text1"/>
              </w:rPr>
              <w:t xml:space="preserve"> среда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128" w:hanging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hd w:val="clear" w:color="auto" w:fill="auto"/>
              <w:spacing w:lineRule="exact" w:line="240"/>
              <w:ind w:left="52" w:hanging="14"/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cs="Tahoma" w:ascii="Tahoma" w:hAnsi="Tahoma"/>
                <w:color w:val="000000" w:themeColor="text1"/>
                <w:sz w:val="18"/>
                <w:szCs w:val="18"/>
              </w:rPr>
              <w:t>Загрязненные и сточных воды с содержанием механических примесей глины, песка, цемента и др.</w:t>
            </w:r>
          </w:p>
        </w:tc>
      </w:tr>
      <w:tr>
        <w:trPr>
          <w:trHeight w:val="240" w:hRule="atLeast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1.2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Подача в рабочей точке, в диапазоне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м</w:t>
            </w:r>
            <w:r>
              <w:rPr>
                <w:rFonts w:cs="Times New Roman" w:ascii="Times New Roman" w:hAnsi="Times New Roman"/>
                <w:color w:val="000000" w:themeColor="text1"/>
                <w:vertAlign w:val="superscript"/>
              </w:rPr>
              <w:t>3</w:t>
            </w:r>
            <w:r>
              <w:rPr>
                <w:rFonts w:cs="Times New Roman" w:ascii="Times New Roman" w:hAnsi="Times New Roman"/>
                <w:color w:val="000000" w:themeColor="text1"/>
              </w:rPr>
              <w:t>/ч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16</w:t>
            </w:r>
          </w:p>
        </w:tc>
      </w:tr>
      <w:tr>
        <w:trPr>
          <w:trHeight w:val="250" w:hRule="atLeast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1.3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Напор в рабочей точке, в диапазоне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м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16</w:t>
            </w:r>
          </w:p>
        </w:tc>
      </w:tr>
      <w:tr>
        <w:trPr>
          <w:trHeight w:val="245" w:hRule="atLeast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1.4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Максимальный размер частицы</w:t>
            </w: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 xml:space="preserve"> в перекачиваемой среде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мм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5</w:t>
            </w:r>
          </w:p>
        </w:tc>
      </w:tr>
      <w:tr>
        <w:trPr>
          <w:trHeight w:val="259" w:hRule="atLeast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1.5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КПД, не менее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%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70</w:t>
            </w:r>
          </w:p>
        </w:tc>
      </w:tr>
      <w:tr>
        <w:trPr>
          <w:trHeight w:val="245" w:hRule="atLeast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1.6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Давление на входе, не более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МПа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</w:r>
          </w:p>
        </w:tc>
      </w:tr>
      <w:tr>
        <w:trPr>
          <w:trHeight w:val="250" w:hRule="atLeast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1.7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Температур</w:t>
            </w: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а</w:t>
            </w:r>
            <w:r>
              <w:rPr>
                <w:rFonts w:cs="Times New Roman" w:ascii="Times New Roman" w:hAnsi="Times New Roman"/>
                <w:color w:val="000000" w:themeColor="text1"/>
              </w:rPr>
              <w:t xml:space="preserve"> </w:t>
            </w: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перекачиваемой среды, в диапазоне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°С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+0,1 ....+</w:t>
            </w: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85</w:t>
            </w:r>
          </w:p>
        </w:tc>
      </w:tr>
      <w:tr>
        <w:trPr>
          <w:trHeight w:val="250" w:hRule="atLeast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1.8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Конструктивные параметры спирального корпуса насоса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hd w:val="clear" w:color="auto" w:fill="auto"/>
              <w:spacing w:lineRule="exact" w:line="240"/>
              <w:ind w:left="52" w:hanging="14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18"/>
                <w:szCs w:val="18"/>
                <w:lang w:val="ru-RU"/>
              </w:rPr>
              <w:t>Моноблочный, вертикальный, погружной, одноступенчатый грязевой центробежный насос со встроенным электродвигателем.</w:t>
            </w:r>
          </w:p>
        </w:tc>
      </w:tr>
      <w:tr>
        <w:trPr>
          <w:trHeight w:val="254" w:hRule="atLeast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1.9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Материал корпуса, не хуже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</w:r>
          </w:p>
        </w:tc>
      </w:tr>
      <w:tr>
        <w:trPr>
          <w:trHeight w:val="254" w:hRule="atLeast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1.10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Материал р</w:t>
            </w:r>
            <w:r>
              <w:rPr>
                <w:rFonts w:cs="Times New Roman" w:ascii="Times New Roman" w:hAnsi="Times New Roman"/>
                <w:color w:val="000000" w:themeColor="text1"/>
              </w:rPr>
              <w:t>абоче</w:t>
            </w: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го</w:t>
            </w:r>
            <w:r>
              <w:rPr>
                <w:rFonts w:cs="Times New Roman" w:ascii="Times New Roman" w:hAnsi="Times New Roman"/>
                <w:color w:val="000000" w:themeColor="text1"/>
              </w:rPr>
              <w:t xml:space="preserve"> колес</w:t>
            </w: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а, не хуже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Высокопрочный чугун или аналог</w:t>
            </w:r>
          </w:p>
        </w:tc>
      </w:tr>
      <w:tr>
        <w:trPr>
          <w:trHeight w:val="254" w:hRule="atLeast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1.11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Уплотнение вала</w:t>
            </w: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 xml:space="preserve"> насоса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</w:r>
          </w:p>
        </w:tc>
      </w:tr>
      <w:tr>
        <w:trPr>
          <w:trHeight w:val="245" w:hRule="atLeast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1.12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Метод монтажа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погружной</w:t>
            </w:r>
          </w:p>
        </w:tc>
      </w:tr>
      <w:tr>
        <w:trPr>
          <w:trHeight w:val="264" w:hRule="atLeast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1.13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Длина насоса от фланца всасывающего патрубка до конца двигателя, не более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мм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</w:r>
          </w:p>
        </w:tc>
      </w:tr>
      <w:tr>
        <w:trPr>
          <w:trHeight w:val="254" w:hRule="atLeast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1.14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en-US"/>
              </w:rPr>
              <w:t>NPSH</w:t>
            </w: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, не более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м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</w:r>
          </w:p>
        </w:tc>
      </w:tr>
      <w:tr>
        <w:trPr>
          <w:trHeight w:val="250" w:hRule="atLeast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Bodytext3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b w:val="false"/>
                <w:b w:val="false"/>
                <w:color w:val="000000" w:themeColor="text1"/>
              </w:rPr>
            </w:pPr>
            <w:r>
              <w:rPr>
                <w:rFonts w:cs="Times New Roman" w:ascii="Times New Roman" w:hAnsi="Times New Roman"/>
                <w:b w:val="false"/>
                <w:color w:val="000000" w:themeColor="text1"/>
              </w:rPr>
              <w:t>2.</w:t>
            </w:r>
          </w:p>
        </w:tc>
        <w:tc>
          <w:tcPr>
            <w:tcW w:w="93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b/>
                <w:color w:val="000000" w:themeColor="text1"/>
                <w:lang w:val="ru-RU"/>
              </w:rPr>
              <w:t>Требования к электрооборудованию (электродвигателю)</w:t>
            </w:r>
          </w:p>
        </w:tc>
      </w:tr>
      <w:tr>
        <w:trPr>
          <w:trHeight w:val="317" w:hRule="atLeast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2.1.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Мощность, не более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кВт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2,2</w:t>
            </w:r>
          </w:p>
        </w:tc>
      </w:tr>
      <w:tr>
        <w:trPr>
          <w:trHeight w:val="317" w:hRule="atLeast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2.2.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Напряжение сети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В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220</w:t>
            </w:r>
          </w:p>
        </w:tc>
      </w:tr>
      <w:tr>
        <w:trPr>
          <w:trHeight w:val="307" w:hRule="atLeast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2.3.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Частота тока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Г</w:t>
            </w: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ц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50</w:t>
            </w:r>
          </w:p>
        </w:tc>
      </w:tr>
      <w:tr>
        <w:trPr>
          <w:trHeight w:val="245" w:hRule="atLeast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2.4.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Номинальный ток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А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</w:r>
          </w:p>
        </w:tc>
      </w:tr>
      <w:tr>
        <w:trPr>
          <w:trHeight w:val="240" w:hRule="atLeast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2.5.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Скорость вращения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об/мин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3000</w:t>
            </w:r>
          </w:p>
        </w:tc>
      </w:tr>
      <w:tr>
        <w:trPr>
          <w:trHeight w:val="245" w:hRule="atLeast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2.6.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КПД двигателя при полной нагрузке, не менее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%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87</w:t>
            </w:r>
          </w:p>
        </w:tc>
      </w:tr>
      <w:tr>
        <w:trPr>
          <w:trHeight w:val="250" w:hRule="atLeast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2.7.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Класс защиты двигателя, не ниже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</w:r>
          </w:p>
        </w:tc>
      </w:tr>
      <w:tr>
        <w:trPr>
          <w:trHeight w:val="245" w:hRule="atLeast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2.8.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Класс защиты коробки выводов, не ниже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</w:r>
          </w:p>
        </w:tc>
      </w:tr>
      <w:tr>
        <w:trPr>
          <w:trHeight w:val="245" w:hRule="atLeast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2.9.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Тепловая защита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</w:r>
          </w:p>
        </w:tc>
      </w:tr>
      <w:tr>
        <w:trPr>
          <w:trHeight w:val="240" w:hRule="atLeast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2.10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Тип двигателя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</w:r>
          </w:p>
        </w:tc>
      </w:tr>
      <w:tr>
        <w:trPr>
          <w:trHeight w:val="259" w:hRule="atLeast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Bodytext3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b w:val="false"/>
                <w:b w:val="false"/>
                <w:color w:val="000000" w:themeColor="text1"/>
              </w:rPr>
            </w:pPr>
            <w:r>
              <w:rPr>
                <w:rFonts w:cs="Times New Roman" w:ascii="Times New Roman" w:hAnsi="Times New Roman"/>
                <w:b w:val="false"/>
                <w:color w:val="000000" w:themeColor="text1"/>
              </w:rPr>
              <w:t>3.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b/>
                <w:b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 w:themeColor="text1"/>
                <w:lang w:val="ru-RU"/>
              </w:rPr>
              <w:t>Требования к комплекту поставки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</w:r>
          </w:p>
        </w:tc>
      </w:tr>
      <w:tr>
        <w:trPr>
          <w:trHeight w:val="254" w:hRule="atLeast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3.1.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Насос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Комп.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1</w:t>
            </w:r>
          </w:p>
        </w:tc>
      </w:tr>
      <w:tr>
        <w:trPr>
          <w:trHeight w:val="240" w:hRule="atLeast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Bodytext3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b w:val="false"/>
                <w:b w:val="false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color w:val="000000" w:themeColor="text1"/>
                <w:lang w:val="ru-RU"/>
              </w:rPr>
              <w:t>3.2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Двигатель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Комп.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1</w:t>
            </w:r>
          </w:p>
        </w:tc>
      </w:tr>
      <w:tr>
        <w:trPr>
          <w:trHeight w:val="240" w:hRule="atLeast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Bodytext3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b w:val="false"/>
                <w:b w:val="false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color w:val="000000" w:themeColor="text1"/>
                <w:lang w:val="ru-RU"/>
              </w:rPr>
              <w:t>3.3.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Муфта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Комп.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</w:r>
          </w:p>
        </w:tc>
      </w:tr>
      <w:tr>
        <w:trPr>
          <w:trHeight w:val="240" w:hRule="atLeast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Bodytext3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b w:val="false"/>
                <w:b w:val="false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color w:val="000000" w:themeColor="text1"/>
                <w:lang w:val="ru-RU"/>
              </w:rPr>
              <w:t>3.4.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Паспорт на оборудование, включающий все технические данные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Шт.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1</w:t>
            </w:r>
          </w:p>
        </w:tc>
      </w:tr>
      <w:tr>
        <w:trPr>
          <w:trHeight w:val="240" w:hRule="atLeast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Bodytext3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b w:val="false"/>
                <w:b w:val="false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color w:val="000000" w:themeColor="text1"/>
                <w:lang w:val="ru-RU"/>
              </w:rPr>
              <w:t>3.5.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Инструкция эксплуатации на русском языке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Шт.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1</w:t>
            </w:r>
          </w:p>
        </w:tc>
      </w:tr>
      <w:tr>
        <w:trPr>
          <w:trHeight w:val="240" w:hRule="atLeast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Bodytext3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b w:val="false"/>
                <w:b w:val="false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color w:val="000000" w:themeColor="text1"/>
                <w:lang w:val="ru-RU"/>
              </w:rPr>
              <w:t>3.6.</w:t>
            </w:r>
          </w:p>
        </w:tc>
        <w:tc>
          <w:tcPr>
            <w:tcW w:w="4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Гарантийные обязательства от производителя с момента ввода в эксплуатацию, не менее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Месяцы</w:t>
            </w:r>
          </w:p>
        </w:tc>
        <w:tc>
          <w:tcPr>
            <w:tcW w:w="3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24</w:t>
            </w:r>
          </w:p>
        </w:tc>
      </w:tr>
    </w:tbl>
    <w:p>
      <w:pPr>
        <w:pStyle w:val="1"/>
        <w:shd w:val="clear" w:color="auto" w:fill="auto"/>
        <w:tabs>
          <w:tab w:val="clear" w:pos="708"/>
          <w:tab w:val="left" w:pos="783" w:leader="none"/>
          <w:tab w:val="left" w:pos="5117" w:leader="none"/>
          <w:tab w:val="left" w:pos="6667" w:leader="none"/>
        </w:tabs>
        <w:spacing w:lineRule="auto" w:line="240"/>
        <w:ind w:left="15" w:hanging="14"/>
        <w:jc w:val="left"/>
        <w:rPr/>
      </w:pPr>
      <w:r>
        <w:rPr>
          <w:rFonts w:cs="Arial" w:ascii="Arial" w:hAnsi="Arial"/>
          <w:bCs/>
          <w:color w:val="000000" w:themeColor="text1"/>
          <w:spacing w:val="10"/>
          <w:sz w:val="16"/>
          <w:szCs w:val="16"/>
          <w:lang w:val="ru-RU"/>
        </w:rPr>
        <w:tab/>
      </w:r>
    </w:p>
    <w:p>
      <w:pPr>
        <w:pStyle w:val="1"/>
        <w:shd w:val="clear" w:color="auto" w:fill="auto"/>
        <w:tabs>
          <w:tab w:val="clear" w:pos="708"/>
          <w:tab w:val="left" w:pos="783" w:leader="none"/>
          <w:tab w:val="left" w:pos="5117" w:leader="none"/>
          <w:tab w:val="left" w:pos="6667" w:leader="none"/>
        </w:tabs>
        <w:spacing w:lineRule="auto" w:line="240"/>
        <w:ind w:left="15" w:hanging="14"/>
        <w:jc w:val="left"/>
        <w:rPr>
          <w:rFonts w:ascii="Arial" w:hAnsi="Arial" w:cs="Arial"/>
          <w:color w:val="538135" w:themeColor="accent6" w:themeShade="bf"/>
          <w:sz w:val="16"/>
          <w:szCs w:val="16"/>
          <w:lang w:val="ru-RU"/>
        </w:rPr>
      </w:pPr>
      <w:r>
        <w:rPr>
          <w:rFonts w:cs="Arial" w:ascii="Arial" w:hAnsi="Arial"/>
          <w:color w:val="538135" w:themeColor="accent6" w:themeShade="bf"/>
          <w:sz w:val="16"/>
          <w:szCs w:val="16"/>
          <w:lang w:val="ru-RU"/>
        </w:rPr>
        <w:tab/>
      </w:r>
      <w:r>
        <w:rPr>
          <w:rFonts w:cs="Arial" w:ascii="Arial" w:hAnsi="Arial"/>
          <w:color w:val="538135" w:themeColor="accent6" w:themeShade="bf"/>
          <w:sz w:val="16"/>
          <w:szCs w:val="16"/>
        </w:rPr>
        <w:tab/>
      </w:r>
    </w:p>
    <w:tbl>
      <w:tblPr>
        <w:tblW w:w="9975" w:type="dxa"/>
        <w:jc w:val="left"/>
        <w:tblInd w:w="23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213"/>
        <w:gridCol w:w="7762"/>
      </w:tblGrid>
      <w:tr>
        <w:trPr>
          <w:trHeight w:val="322" w:hRule="atLeast"/>
        </w:trPr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ФИО Ответственного:</w:t>
            </w:r>
          </w:p>
        </w:tc>
        <w:tc>
          <w:tcPr>
            <w:tcW w:w="7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exact" w:line="240"/>
              <w:rPr>
                <w:rFonts w:ascii="Times New Roman" w:hAnsi="Times New Roman" w:cs="Times New Roman"/>
                <w:sz w:val="20"/>
                <w:szCs w:val="20"/>
                <w:highlight w:val="white"/>
                <w:lang w:val="ru-RU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highlight w:val="white"/>
                <w:lang w:val="ru-RU"/>
              </w:rPr>
              <w:t>Теплых Е.А.</w:t>
            </w:r>
          </w:p>
        </w:tc>
      </w:tr>
      <w:tr>
        <w:trPr>
          <w:trHeight w:val="322" w:hRule="atLeast"/>
        </w:trPr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Должность:</w:t>
            </w:r>
          </w:p>
        </w:tc>
        <w:tc>
          <w:tcPr>
            <w:tcW w:w="7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exact" w:line="240"/>
              <w:rPr>
                <w:rFonts w:ascii="Times New Roman" w:hAnsi="Times New Roman" w:cs="Times New Roman"/>
                <w:sz w:val="20"/>
                <w:szCs w:val="20"/>
                <w:highlight w:val="white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shd w:fill="FFFFFF" w:val="clear"/>
                <w:lang w:val="ru-RU"/>
              </w:rPr>
              <w:t>Начальник участка</w:t>
            </w:r>
          </w:p>
        </w:tc>
      </w:tr>
      <w:tr>
        <w:trPr>
          <w:trHeight w:val="322" w:hRule="atLeast"/>
        </w:trPr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Телефон / Факс:</w:t>
            </w:r>
          </w:p>
        </w:tc>
        <w:tc>
          <w:tcPr>
            <w:tcW w:w="7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exact" w:line="240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shd w:fill="FFFFFF" w:val="clear"/>
              </w:rPr>
              <w:t>207-25-96; вн. 17-13</w:t>
            </w:r>
          </w:p>
        </w:tc>
      </w:tr>
      <w:tr>
        <w:trPr>
          <w:trHeight w:val="322" w:hRule="atLeast"/>
        </w:trPr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Электронный адрес:</w:t>
            </w:r>
          </w:p>
        </w:tc>
        <w:tc>
          <w:tcPr>
            <w:tcW w:w="7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exact" w:line="240"/>
              <w:rPr>
                <w:rFonts w:ascii="Times New Roman" w:hAnsi="Times New Roman" w:eastAsia="Calibri" w:cs="Times New Roman"/>
                <w:color w:val="00000A"/>
                <w:sz w:val="20"/>
                <w:szCs w:val="20"/>
                <w:highlight w:val="white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e</w:t>
            </w: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Teplyh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@samcomsys.ru</w:t>
            </w:r>
          </w:p>
        </w:tc>
      </w:tr>
      <w:tr>
        <w:trPr>
          <w:trHeight w:val="322" w:hRule="atLeast"/>
        </w:trPr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Подпись:</w:t>
            </w:r>
          </w:p>
        </w:tc>
        <w:tc>
          <w:tcPr>
            <w:tcW w:w="7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exact" w:line="240"/>
              <w:rPr>
                <w:rFonts w:ascii="Times New Roman" w:hAnsi="Times New Roman" w:eastAsia="Calibri" w:cs="Times New Roman"/>
                <w:color w:val="00000A"/>
                <w:sz w:val="20"/>
                <w:szCs w:val="20"/>
                <w:highlight w:val="white"/>
              </w:rPr>
            </w:pPr>
            <w:r>
              <w:rPr>
                <w:rFonts w:eastAsia="Calibri" w:cs="Times New Roman" w:ascii="Times New Roman" w:hAnsi="Times New Roman"/>
                <w:color w:val="00000A"/>
                <w:sz w:val="20"/>
                <w:szCs w:val="20"/>
                <w:shd w:fill="FFFFFF" w:val="clear"/>
              </w:rPr>
            </w:r>
          </w:p>
        </w:tc>
      </w:tr>
      <w:tr>
        <w:trPr>
          <w:trHeight w:val="322" w:hRule="atLeast"/>
        </w:trPr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val="ru-RU"/>
              </w:rPr>
              <w:t>Начальник ГОКС</w:t>
            </w:r>
          </w:p>
        </w:tc>
        <w:tc>
          <w:tcPr>
            <w:tcW w:w="7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exact" w:line="240"/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shd w:fill="FFFFFF" w:val="clear"/>
                <w:lang w:val="ru-RU"/>
              </w:rPr>
              <w:t>В.И.Поселённов</w:t>
            </w:r>
          </w:p>
        </w:tc>
      </w:tr>
      <w:tr>
        <w:trPr>
          <w:trHeight w:val="322" w:hRule="atLeast"/>
        </w:trPr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Подпись:</w:t>
            </w:r>
          </w:p>
        </w:tc>
        <w:tc>
          <w:tcPr>
            <w:tcW w:w="7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975" w:right="731" w:header="0" w:top="851" w:footer="0" w:bottom="851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Arial Unicode MS">
    <w:charset w:val="cc"/>
    <w:family w:val="roman"/>
    <w:pitch w:val="variable"/>
  </w:font>
  <w:font w:name="Tahoma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compat>
    <w:doNotExpandShiftReturn/>
  </w:compat>
  <w:autoHyphenation w:val="fals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 Unicode MS" w:hAnsi="Arial Unicode MS" w:eastAsia="Arial Unicode MS" w:cs="Arial Unicode MS"/>
        <w:szCs w:val="24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Arial Unicode MS" w:hAnsi="Arial Unicode MS" w:eastAsia="Arial Unicode MS" w:cs="Arial Unicode MS"/>
      <w:color w:val="000000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Интернет-ссылка"/>
    <w:basedOn w:val="DefaultParagraphFont"/>
    <w:rPr>
      <w:color w:val="000080"/>
      <w:u w:val="single"/>
    </w:rPr>
  </w:style>
  <w:style w:type="character" w:styleId="Bodytext" w:customStyle="1">
    <w:name w:val="Body text_"/>
    <w:basedOn w:val="DefaultParagraphFont"/>
    <w:link w:val="1"/>
    <w:qFormat/>
    <w:rPr>
      <w:rFonts w:ascii="Tahoma" w:hAnsi="Tahoma" w:eastAsia="Tahoma" w:cs="Tahoma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sz w:val="18"/>
      <w:szCs w:val="18"/>
    </w:rPr>
  </w:style>
  <w:style w:type="character" w:styleId="Bodytext2" w:customStyle="1">
    <w:name w:val="Body text (2)_"/>
    <w:basedOn w:val="DefaultParagraphFont"/>
    <w:link w:val="Bodytext20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z w:val="20"/>
      <w:szCs w:val="20"/>
    </w:rPr>
  </w:style>
  <w:style w:type="character" w:styleId="Bodytext3" w:customStyle="1">
    <w:name w:val="Body text (3)_"/>
    <w:basedOn w:val="DefaultParagraphFont"/>
    <w:link w:val="Bodytext30"/>
    <w:qFormat/>
    <w:rPr>
      <w:rFonts w:ascii="Tahoma" w:hAnsi="Tahoma" w:eastAsia="Tahoma" w:cs="Tahoma"/>
      <w:b w:val="false"/>
      <w:bCs w:val="false"/>
      <w:i w:val="false"/>
      <w:iCs w:val="false"/>
      <w:caps w:val="false"/>
      <w:smallCaps w:val="false"/>
      <w:strike w:val="false"/>
      <w:dstrike w:val="false"/>
      <w:spacing w:val="10"/>
      <w:sz w:val="18"/>
      <w:szCs w:val="18"/>
    </w:rPr>
  </w:style>
  <w:style w:type="character" w:styleId="Bodytext6" w:customStyle="1">
    <w:name w:val="Body text (6)_"/>
    <w:basedOn w:val="DefaultParagraphFont"/>
    <w:link w:val="Bodytext60"/>
    <w:qFormat/>
    <w:rPr>
      <w:rFonts w:ascii="Tahoma" w:hAnsi="Tahoma" w:eastAsia="Tahoma" w:cs="Tahoma"/>
      <w:b w:val="false"/>
      <w:bCs w:val="false"/>
      <w:i w:val="false"/>
      <w:iCs w:val="false"/>
      <w:caps w:val="false"/>
      <w:smallCaps w:val="false"/>
      <w:strike w:val="false"/>
      <w:dstrike w:val="false"/>
      <w:spacing w:val="10"/>
      <w:sz w:val="22"/>
      <w:szCs w:val="22"/>
    </w:rPr>
  </w:style>
  <w:style w:type="character" w:styleId="Bodytext4" w:customStyle="1">
    <w:name w:val="Body text (4)_"/>
    <w:basedOn w:val="DefaultParagraphFont"/>
    <w:link w:val="Bodytext40"/>
    <w:qFormat/>
    <w:rPr>
      <w:rFonts w:ascii="Tahoma" w:hAnsi="Tahoma" w:eastAsia="Tahoma" w:cs="Tahoma"/>
      <w:b w:val="false"/>
      <w:bCs w:val="false"/>
      <w:i w:val="false"/>
      <w:iCs w:val="false"/>
      <w:caps w:val="false"/>
      <w:smallCaps w:val="false"/>
      <w:strike w:val="false"/>
      <w:dstrike w:val="false"/>
      <w:spacing w:val="10"/>
      <w:sz w:val="22"/>
      <w:szCs w:val="22"/>
    </w:rPr>
  </w:style>
  <w:style w:type="character" w:styleId="Bodytext495ptSpacing0pt" w:customStyle="1">
    <w:name w:val="Body text (4) + 9.5 pt;Spacing 0 pt"/>
    <w:basedOn w:val="Bodytext4"/>
    <w:qFormat/>
    <w:rPr>
      <w:rFonts w:ascii="Tahoma" w:hAnsi="Tahoma" w:eastAsia="Tahoma" w:cs="Tahoma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sz w:val="19"/>
      <w:szCs w:val="19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  <w:lang w:val="zxx" w:eastAsia="zxx" w:bidi="zxx"/>
    </w:rPr>
  </w:style>
  <w:style w:type="paragraph" w:styleId="1" w:customStyle="1">
    <w:name w:val="Основной текст1"/>
    <w:basedOn w:val="Normal"/>
    <w:link w:val="Bodytext"/>
    <w:qFormat/>
    <w:pPr>
      <w:shd w:val="clear" w:color="auto" w:fill="FFFFFF"/>
      <w:spacing w:lineRule="exact" w:line="226"/>
      <w:jc w:val="both"/>
    </w:pPr>
    <w:rPr>
      <w:rFonts w:ascii="Tahoma" w:hAnsi="Tahoma" w:eastAsia="Tahoma" w:cs="Tahoma"/>
      <w:sz w:val="18"/>
      <w:szCs w:val="18"/>
    </w:rPr>
  </w:style>
  <w:style w:type="paragraph" w:styleId="Bodytext21" w:customStyle="1">
    <w:name w:val="Body text (2)"/>
    <w:basedOn w:val="Normal"/>
    <w:link w:val="Bodytext2"/>
    <w:qFormat/>
    <w:pPr>
      <w:shd w:val="clear" w:color="auto" w:fill="FFFFFF"/>
      <w:spacing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Bodytext31" w:customStyle="1">
    <w:name w:val="Body text (3)"/>
    <w:basedOn w:val="Normal"/>
    <w:link w:val="Bodytext3"/>
    <w:qFormat/>
    <w:pPr>
      <w:shd w:val="clear" w:color="auto" w:fill="FFFFFF"/>
      <w:spacing w:lineRule="auto"/>
      <w:jc w:val="right"/>
    </w:pPr>
    <w:rPr>
      <w:rFonts w:ascii="Tahoma" w:hAnsi="Tahoma" w:eastAsia="Tahoma" w:cs="Tahoma"/>
      <w:b/>
      <w:bCs/>
      <w:spacing w:val="10"/>
      <w:sz w:val="18"/>
      <w:szCs w:val="18"/>
    </w:rPr>
  </w:style>
  <w:style w:type="paragraph" w:styleId="Bodytext61" w:customStyle="1">
    <w:name w:val="Body text (6)"/>
    <w:basedOn w:val="Normal"/>
    <w:link w:val="Bodytext6"/>
    <w:qFormat/>
    <w:pPr>
      <w:shd w:val="clear" w:color="auto" w:fill="FFFFFF"/>
      <w:spacing w:lineRule="auto"/>
      <w:jc w:val="both"/>
    </w:pPr>
    <w:rPr>
      <w:rFonts w:ascii="Tahoma" w:hAnsi="Tahoma" w:eastAsia="Tahoma" w:cs="Tahoma"/>
      <w:spacing w:val="10"/>
      <w:sz w:val="22"/>
      <w:szCs w:val="22"/>
    </w:rPr>
  </w:style>
  <w:style w:type="paragraph" w:styleId="Bodytext41" w:customStyle="1">
    <w:name w:val="Body text (4)"/>
    <w:basedOn w:val="Normal"/>
    <w:link w:val="Bodytext4"/>
    <w:qFormat/>
    <w:pPr>
      <w:shd w:val="clear" w:color="auto" w:fill="FFFFFF"/>
      <w:spacing w:lineRule="auto"/>
      <w:jc w:val="both"/>
    </w:pPr>
    <w:rPr>
      <w:rFonts w:ascii="Tahoma" w:hAnsi="Tahoma" w:eastAsia="Tahoma" w:cs="Tahoma"/>
      <w:spacing w:val="10"/>
      <w:sz w:val="22"/>
      <w:szCs w:val="22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F1F2D-F2DA-4330-9520-83A69B7AD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Application>LibreOffice/6.3.4.2$Windows_x86 LibreOffice_project/60da17e045e08f1793c57c00ba83cdfce946d0aa</Application>
  <Pages>2</Pages>
  <Words>291</Words>
  <Characters>1722</Characters>
  <CharactersWithSpaces>1886</CharactersWithSpaces>
  <Paragraphs>133</Paragraphs>
  <Company>ОАО "РКС"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2020-09-18T08:33:00Z</dcterms:created>
  <dc:creator>Моисеев Андрей Владимирович</dc:creator>
  <dc:description/>
  <dc:language>ru-RU</dc:language>
  <cp:lastModifiedBy/>
  <dcterms:modified xsi:type="dcterms:W3CDTF">2022-11-02T07:03:33Z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ОАО "РКС"</vt:lpwstr>
  </property>
</Properties>
</file>